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ОЦЕНОЧНЫЕ МАТЕРИАЛЫ</w:t>
      </w:r>
    </w:p>
    <w:p>
      <w:pPr>
        <w:pStyle w:val="Normal"/>
        <w:spacing w:lineRule="auto" w:line="240" w:before="0" w:after="0"/>
        <w:ind w:right="-568" w:firstLine="709"/>
        <w:jc w:val="center"/>
        <w:rPr>
          <w:b/>
          <w:bCs/>
        </w:rPr>
      </w:pPr>
      <w:r>
        <w:rPr>
          <w:rFonts w:cs="Times New Roman" w:ascii="Times New Roman" w:hAnsi="Times New Roman"/>
          <w:b/>
          <w:bCs/>
          <w:color w:val="auto"/>
          <w:sz w:val="28"/>
          <w:szCs w:val="28"/>
        </w:rPr>
        <w:t>для проведения промежуточной аттестации</w:t>
      </w:r>
    </w:p>
    <w:p>
      <w:pPr>
        <w:pStyle w:val="Normal"/>
        <w:spacing w:lineRule="auto" w:line="240" w:before="0" w:after="0"/>
        <w:ind w:right="-568" w:firstLine="709"/>
        <w:jc w:val="center"/>
        <w:rPr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color w:val="auto"/>
          <w:sz w:val="28"/>
          <w:szCs w:val="28"/>
        </w:rPr>
        <w:t xml:space="preserve">по </w:t>
      </w:r>
      <w:r>
        <w:rPr>
          <w:rFonts w:cs="Times New Roman" w:ascii="Times New Roman" w:hAnsi="Times New Roman"/>
          <w:b w:val="false"/>
          <w:bCs w:val="false"/>
          <w:color w:val="auto" w:themeShade="bf"/>
          <w:sz w:val="28"/>
          <w:szCs w:val="28"/>
        </w:rPr>
        <w:t xml:space="preserve"> </w:t>
      </w:r>
      <w:r>
        <w:rPr>
          <w:rFonts w:cs="Times New Roman" w:ascii="Times New Roman" w:hAnsi="Times New Roman"/>
          <w:b w:val="false"/>
          <w:bCs w:val="false"/>
          <w:color w:val="auto" w:themeShade="bf"/>
          <w:sz w:val="28"/>
          <w:szCs w:val="28"/>
        </w:rPr>
        <w:t>ОП13</w:t>
      </w:r>
      <w:r>
        <w:rPr>
          <w:rFonts w:cs="Times New Roman" w:ascii="Times New Roman" w:hAnsi="Times New Roman"/>
          <w:b w:val="false"/>
          <w:bCs w:val="false"/>
          <w:color w:val="auto" w:themeShade="bf"/>
          <w:sz w:val="28"/>
          <w:szCs w:val="28"/>
        </w:rPr>
        <w:t xml:space="preserve"> </w:t>
      </w:r>
      <w:r>
        <w:rPr>
          <w:rFonts w:cs="Times New Roman" w:ascii="Times New Roman" w:hAnsi="Times New Roman"/>
          <w:b w:val="false"/>
          <w:bCs w:val="false"/>
          <w:color w:val="auto"/>
          <w:sz w:val="28"/>
          <w:szCs w:val="28"/>
        </w:rPr>
        <w:t>«</w:t>
      </w:r>
      <w:r>
        <w:rPr>
          <w:rFonts w:cs="Times New Roman" w:ascii="Times New Roman" w:hAnsi="Times New Roman"/>
          <w:b w:val="false"/>
          <w:bCs w:val="false"/>
          <w:color w:val="auto"/>
          <w:sz w:val="28"/>
          <w:szCs w:val="28"/>
        </w:rPr>
        <w:t>Безопасность дорожного движения</w:t>
      </w:r>
      <w:r>
        <w:rPr>
          <w:rFonts w:cs="Times New Roman" w:ascii="Times New Roman" w:hAnsi="Times New Roman"/>
          <w:b w:val="false"/>
          <w:bCs w:val="false"/>
          <w:color w:val="auto"/>
          <w:sz w:val="28"/>
          <w:szCs w:val="28"/>
        </w:rPr>
        <w:t>»</w:t>
      </w:r>
    </w:p>
    <w:p>
      <w:pPr>
        <w:pStyle w:val="Normal"/>
        <w:spacing w:lineRule="auto" w:line="240" w:before="0" w:after="0"/>
        <w:ind w:right="-568" w:firstLine="709"/>
        <w:jc w:val="center"/>
        <w:rPr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color w:val="auto"/>
          <w:sz w:val="28"/>
          <w:szCs w:val="28"/>
        </w:rPr>
        <w:t xml:space="preserve">по </w:t>
      </w:r>
      <w:r>
        <w:rPr>
          <w:rFonts w:cs="Times New Roman" w:ascii="Times New Roman" w:hAnsi="Times New Roman"/>
          <w:b w:val="false"/>
          <w:bCs w:val="false"/>
          <w:color w:val="auto" w:themeShade="bf"/>
          <w:sz w:val="28"/>
          <w:szCs w:val="28"/>
        </w:rPr>
        <w:t xml:space="preserve">специальности </w:t>
      </w:r>
      <w:r>
        <w:rPr>
          <w:rFonts w:cs="Times New Roman" w:ascii="Times New Roman" w:hAnsi="Times New Roman"/>
          <w:b w:val="false"/>
          <w:bCs w:val="false"/>
          <w:color w:val="auto"/>
          <w:sz w:val="28"/>
          <w:szCs w:val="28"/>
        </w:rPr>
        <w:t>«23.02.07 Техническое обслуживание и ремонт двигателей, систем и агрегатов автомобилей»</w:t>
      </w:r>
    </w:p>
    <w:p>
      <w:pPr>
        <w:pStyle w:val="Normal"/>
        <w:tabs>
          <w:tab w:val="clear" w:pos="708"/>
          <w:tab w:val="left" w:pos="10076" w:leader="none"/>
        </w:tabs>
        <w:spacing w:lineRule="auto" w:line="240" w:before="0" w:after="0"/>
        <w:ind w:right="-568" w:firstLine="709"/>
        <w:rPr>
          <w:b w:val="false"/>
          <w:bCs w:val="false"/>
          <w:color w:val="auto"/>
          <w:sz w:val="28"/>
          <w:szCs w:val="28"/>
        </w:rPr>
      </w:pPr>
      <w:r>
        <w:rPr>
          <w:b w:val="false"/>
          <w:bCs w:val="false"/>
          <w:color w:val="auto"/>
          <w:sz w:val="28"/>
          <w:szCs w:val="28"/>
        </w:rPr>
      </w:r>
    </w:p>
    <w:p>
      <w:pPr>
        <w:pStyle w:val="Normal"/>
        <w:tabs>
          <w:tab w:val="clear" w:pos="708"/>
          <w:tab w:val="left" w:pos="8808" w:leader="none"/>
        </w:tabs>
        <w:spacing w:lineRule="auto" w:line="240" w:before="0" w:after="0"/>
        <w:ind w:right="-568" w:firstLine="709"/>
        <w:rPr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color w:val="auto"/>
          <w:sz w:val="28"/>
          <w:szCs w:val="28"/>
        </w:rPr>
        <w:t>Промежуточная аттестация проводится в форме дифференцированного зачета</w:t>
      </w:r>
      <w:r>
        <w:rPr>
          <w:rFonts w:cs="Times New Roman" w:ascii="Times New Roman" w:hAnsi="Times New Roman"/>
          <w:b w:val="false"/>
          <w:bCs w:val="false"/>
          <w:color w:val="auto" w:themeShade="bf"/>
          <w:sz w:val="28"/>
          <w:szCs w:val="28"/>
        </w:rPr>
        <w:t>.</w:t>
      </w:r>
    </w:p>
    <w:p>
      <w:pPr>
        <w:pStyle w:val="Normal"/>
        <w:spacing w:lineRule="auto" w:line="240" w:before="0" w:after="0"/>
        <w:ind w:right="-568" w:firstLine="709"/>
        <w:jc w:val="both"/>
        <w:rPr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color w:val="auto" w:themeShade="bf"/>
          <w:sz w:val="28"/>
          <w:szCs w:val="28"/>
        </w:rPr>
        <w:t xml:space="preserve">Дифференцированный зачет </w:t>
      </w:r>
      <w:r>
        <w:rPr>
          <w:rFonts w:cs="Times New Roman" w:ascii="Times New Roman" w:hAnsi="Times New Roman"/>
          <w:b w:val="false"/>
          <w:bCs w:val="false"/>
          <w:color w:val="auto"/>
          <w:sz w:val="28"/>
          <w:szCs w:val="28"/>
        </w:rPr>
        <w:t xml:space="preserve">по </w:t>
      </w:r>
      <w:r>
        <w:rPr>
          <w:rFonts w:cs="Times New Roman" w:ascii="Times New Roman" w:hAnsi="Times New Roman"/>
          <w:b w:val="false"/>
          <w:bCs w:val="false"/>
          <w:color w:val="auto" w:themeShade="bf"/>
          <w:sz w:val="28"/>
          <w:szCs w:val="28"/>
        </w:rPr>
        <w:t>ОП13</w:t>
      </w:r>
      <w:r>
        <w:rPr>
          <w:rFonts w:cs="Times New Roman" w:ascii="Times New Roman" w:hAnsi="Times New Roman"/>
          <w:b w:val="false"/>
          <w:bCs w:val="false"/>
          <w:color w:val="auto" w:themeShade="bf"/>
          <w:sz w:val="28"/>
          <w:szCs w:val="28"/>
        </w:rPr>
        <w:t xml:space="preserve"> </w:t>
      </w:r>
      <w:r>
        <w:rPr>
          <w:rFonts w:cs="Times New Roman" w:ascii="Times New Roman" w:hAnsi="Times New Roman"/>
          <w:b w:val="false"/>
          <w:bCs w:val="false"/>
          <w:color w:val="auto"/>
          <w:sz w:val="28"/>
          <w:szCs w:val="28"/>
        </w:rPr>
        <w:t>«</w:t>
      </w:r>
      <w:r>
        <w:rPr>
          <w:rFonts w:cs="Times New Roman" w:ascii="Times New Roman" w:hAnsi="Times New Roman"/>
          <w:b w:val="false"/>
          <w:bCs w:val="false"/>
          <w:color w:val="auto"/>
          <w:sz w:val="28"/>
          <w:szCs w:val="28"/>
        </w:rPr>
        <w:t>Безопасность дорожного движения</w:t>
      </w:r>
      <w:r>
        <w:rPr>
          <w:rFonts w:cs="Times New Roman" w:ascii="Times New Roman" w:hAnsi="Times New Roman"/>
          <w:b w:val="false"/>
          <w:bCs w:val="false"/>
          <w:color w:val="auto"/>
          <w:sz w:val="28"/>
          <w:szCs w:val="28"/>
        </w:rPr>
        <w:t xml:space="preserve">» проводится с целью контроля планируемых к освоению общих и предметных результатов, формируемых ОК, ПК с учетом получаемой </w:t>
      </w:r>
      <w:r>
        <w:rPr>
          <w:rFonts w:cs="Times New Roman" w:ascii="Times New Roman" w:hAnsi="Times New Roman"/>
          <w:b w:val="false"/>
          <w:bCs w:val="false"/>
          <w:color w:val="auto" w:themeShade="bf"/>
          <w:sz w:val="28"/>
          <w:szCs w:val="28"/>
        </w:rPr>
        <w:t xml:space="preserve">специальности </w:t>
      </w:r>
      <w:r>
        <w:rPr>
          <w:rFonts w:cs="Times New Roman" w:ascii="Times New Roman" w:hAnsi="Times New Roman"/>
          <w:b w:val="false"/>
          <w:bCs w:val="false"/>
          <w:color w:val="auto"/>
          <w:sz w:val="28"/>
          <w:szCs w:val="28"/>
        </w:rPr>
        <w:t>«23.02.07 Техническое обслуживание и ремонт двигателей, систем и агрегатов автомобилей»</w:t>
      </w:r>
    </w:p>
    <w:p>
      <w:pPr>
        <w:pStyle w:val="Normal"/>
        <w:spacing w:lineRule="auto" w:line="240" w:before="0" w:after="0"/>
        <w:ind w:right="-568" w:firstLine="709"/>
        <w:jc w:val="both"/>
        <w:rPr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color w:val="auto"/>
          <w:sz w:val="28"/>
          <w:szCs w:val="28"/>
        </w:rPr>
        <w:t xml:space="preserve">Результат промежуточной аттестации по учебной дисциплине </w:t>
      </w:r>
      <w:r>
        <w:rPr>
          <w:rFonts w:cs="Times New Roman" w:ascii="Times New Roman" w:hAnsi="Times New Roman"/>
          <w:b w:val="false"/>
          <w:bCs w:val="false"/>
          <w:color w:val="auto" w:themeShade="bf"/>
          <w:sz w:val="28"/>
          <w:szCs w:val="28"/>
        </w:rPr>
        <w:t>ОП13</w:t>
      </w:r>
      <w:r>
        <w:rPr>
          <w:rFonts w:cs="Times New Roman" w:ascii="Times New Roman" w:hAnsi="Times New Roman"/>
          <w:b w:val="false"/>
          <w:bCs w:val="false"/>
          <w:color w:val="auto" w:themeShade="bf"/>
          <w:sz w:val="28"/>
          <w:szCs w:val="28"/>
        </w:rPr>
        <w:t xml:space="preserve"> </w:t>
      </w:r>
      <w:r>
        <w:rPr>
          <w:rFonts w:cs="Times New Roman" w:ascii="Times New Roman" w:hAnsi="Times New Roman"/>
          <w:b w:val="false"/>
          <w:bCs w:val="false"/>
          <w:color w:val="auto"/>
          <w:sz w:val="28"/>
          <w:szCs w:val="28"/>
        </w:rPr>
        <w:t>«</w:t>
      </w:r>
      <w:r>
        <w:rPr>
          <w:rFonts w:cs="Times New Roman" w:ascii="Times New Roman" w:hAnsi="Times New Roman"/>
          <w:b w:val="false"/>
          <w:bCs w:val="false"/>
          <w:color w:val="auto"/>
          <w:sz w:val="28"/>
          <w:szCs w:val="28"/>
        </w:rPr>
        <w:t>Безопасность дорожного движения</w:t>
      </w:r>
      <w:r>
        <w:rPr>
          <w:rFonts w:cs="Times New Roman" w:ascii="Times New Roman" w:hAnsi="Times New Roman"/>
          <w:b w:val="false"/>
          <w:bCs w:val="false"/>
          <w:color w:val="auto"/>
          <w:sz w:val="28"/>
          <w:szCs w:val="28"/>
        </w:rPr>
        <w:t>» складывается из:</w:t>
      </w:r>
    </w:p>
    <w:p>
      <w:pPr>
        <w:pStyle w:val="Normal"/>
        <w:spacing w:lineRule="auto" w:line="240" w:before="0" w:after="0"/>
        <w:ind w:right="-568" w:firstLine="709"/>
        <w:jc w:val="both"/>
        <w:rPr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color w:val="auto"/>
          <w:sz w:val="28"/>
          <w:szCs w:val="28"/>
        </w:rPr>
        <w:t xml:space="preserve">1) результатов текущего контроля (контрольные точки по теме </w:t>
      </w:r>
      <w:r>
        <w:rPr>
          <w:rFonts w:cs="Times New Roman" w:ascii="Times New Roman" w:hAnsi="Times New Roman"/>
          <w:b w:val="false"/>
          <w:bCs w:val="false"/>
          <w:color w:val="auto"/>
          <w:sz w:val="28"/>
          <w:szCs w:val="28"/>
        </w:rPr>
        <w:t>1,1-1,6; 2,1-2,4;</w:t>
      </w:r>
      <w:r>
        <w:rPr>
          <w:rFonts w:cs="Times New Roman" w:ascii="Times New Roman" w:hAnsi="Times New Roman"/>
          <w:b w:val="false"/>
          <w:bCs w:val="false"/>
          <w:color w:val="auto"/>
          <w:sz w:val="28"/>
          <w:szCs w:val="28"/>
        </w:rPr>
        <w:t xml:space="preserve"> </w:t>
      </w:r>
      <w:r>
        <w:rPr>
          <w:rFonts w:cs="Times New Roman" w:ascii="Times New Roman" w:hAnsi="Times New Roman"/>
          <w:b w:val="false"/>
          <w:bCs w:val="false"/>
          <w:color w:val="auto"/>
          <w:sz w:val="28"/>
          <w:szCs w:val="28"/>
        </w:rPr>
        <w:t>3,1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 xml:space="preserve">) по 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ОП</w:t>
      </w: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;</w:t>
      </w:r>
    </w:p>
    <w:p>
      <w:pPr>
        <w:pStyle w:val="Normal"/>
        <w:spacing w:lineRule="auto" w:line="240" w:before="0" w:after="0"/>
        <w:ind w:right="-568" w:firstLine="709"/>
        <w:jc w:val="both"/>
        <w:rPr>
          <w:b w:val="false"/>
          <w:bCs w:val="false"/>
          <w:sz w:val="28"/>
          <w:szCs w:val="28"/>
        </w:rPr>
      </w:pPr>
      <w:r>
        <w:rPr>
          <w:rFonts w:cs="Times New Roman" w:ascii="Times New Roman" w:hAnsi="Times New Roman"/>
          <w:b w:val="false"/>
          <w:bCs w:val="false"/>
          <w:sz w:val="28"/>
          <w:szCs w:val="28"/>
        </w:rPr>
        <w:t>2) выполнения тестовых заданий на сайте колледжа (промежуточная аттестация по дисциплине).</w:t>
      </w:r>
      <w:bookmarkStart w:id="0" w:name="_GoBack"/>
      <w:bookmarkEnd w:id="0"/>
    </w:p>
    <w:p>
      <w:pPr>
        <w:pStyle w:val="Normal"/>
        <w:tabs>
          <w:tab w:val="clear" w:pos="708"/>
          <w:tab w:val="left" w:pos="10076" w:leader="none"/>
        </w:tabs>
        <w:spacing w:lineRule="auto" w:line="240" w:before="0" w:after="0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tabs>
          <w:tab w:val="clear" w:pos="708"/>
          <w:tab w:val="left" w:pos="10076" w:leader="none"/>
        </w:tabs>
        <w:spacing w:lineRule="auto" w:line="240" w:before="0" w:after="0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ПЕРЕЧЕНЬ ВОПРОСОВ</w:t>
      </w:r>
    </w:p>
    <w:p>
      <w:pPr>
        <w:pStyle w:val="Normal"/>
        <w:tabs>
          <w:tab w:val="clear" w:pos="708"/>
          <w:tab w:val="left" w:pos="10076" w:leader="none"/>
        </w:tabs>
        <w:spacing w:lineRule="auto" w:line="240" w:before="0" w:after="0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для проведения промежуточной аттестации</w:t>
      </w:r>
    </w:p>
    <w:p>
      <w:pPr>
        <w:pStyle w:val="Normal"/>
        <w:tabs>
          <w:tab w:val="clear" w:pos="708"/>
          <w:tab w:val="left" w:pos="10076" w:leader="none"/>
        </w:tabs>
        <w:spacing w:lineRule="auto" w:line="240" w:before="0" w:after="0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в форме дифференцированного зачета</w:t>
      </w:r>
      <w:r>
        <w:rPr>
          <w:rFonts w:cs="Times New Roman" w:ascii="Times New Roman" w:hAnsi="Times New Roman"/>
          <w:color w:val="E36C0A" w:themeColor="accent6" w:themeShade="bf"/>
          <w:sz w:val="28"/>
          <w:szCs w:val="28"/>
        </w:rPr>
        <w:t xml:space="preserve"> </w:t>
      </w:r>
    </w:p>
    <w:p>
      <w:pPr>
        <w:pStyle w:val="Normal"/>
        <w:tabs>
          <w:tab w:val="clear" w:pos="708"/>
          <w:tab w:val="left" w:pos="10076" w:leader="none"/>
        </w:tabs>
        <w:spacing w:lineRule="auto" w:line="240" w:before="0" w:after="0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right="-568" w:firstLine="709"/>
        <w:jc w:val="both"/>
        <w:rPr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color w:val="auto"/>
          <w:sz w:val="28"/>
          <w:szCs w:val="28"/>
        </w:rPr>
        <w:t xml:space="preserve">1.  Законодательство, определяющее правовые основы обеспечения безопасности дорожного движения и регулирующее отношения в сфере взаимодействия общества и природы. 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8"/>
          <w:szCs w:val="28"/>
          <w:lang w:val="ru-RU" w:eastAsia="en-US" w:bidi="ar-SA"/>
        </w:rPr>
        <w:t xml:space="preserve">Законодательство, устанавливающее ответственность за нарушения в сфере дорожного движения. </w:t>
      </w:r>
      <w:r>
        <w:rPr>
          <w:rFonts w:eastAsia="Calibri" w:cs="Times New Roman" w:ascii="Times New Roman" w:hAnsi="Times New Roman"/>
          <w:b w:val="false"/>
          <w:bCs/>
          <w:i w:val="false"/>
          <w:iCs w:val="false"/>
          <w:color w:val="auto"/>
          <w:sz w:val="28"/>
          <w:szCs w:val="28"/>
          <w:lang w:val="ru-RU" w:eastAsia="ru-RU"/>
        </w:rPr>
        <w:t xml:space="preserve">Применение упрощенного оформления дорожно-транспортных происшествий. Общие положения, основные понятия и термины, используемые в Правилах дорожного движения. </w:t>
      </w:r>
    </w:p>
    <w:p>
      <w:pPr>
        <w:pStyle w:val="Normal"/>
        <w:spacing w:lineRule="auto" w:line="240" w:before="0" w:after="0"/>
        <w:ind w:right="-568" w:firstLine="709"/>
        <w:jc w:val="both"/>
        <w:rPr/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sz w:val="28"/>
          <w:szCs w:val="28"/>
          <w:lang w:eastAsia="ru-RU"/>
        </w:rPr>
        <w:t xml:space="preserve">2. Обязанности участников дорожного движения. </w:t>
      </w:r>
      <w:r>
        <w:rPr>
          <w:rFonts w:eastAsia="Calibri" w:cs="Times New Roman" w:ascii="Times New Roman" w:hAnsi="Times New Roman"/>
          <w:b w:val="false"/>
          <w:bCs/>
          <w:i w:val="false"/>
          <w:iCs w:val="false"/>
          <w:color w:val="auto"/>
          <w:sz w:val="28"/>
          <w:szCs w:val="28"/>
          <w:lang w:eastAsia="ru-RU"/>
        </w:rPr>
        <w:t>Обязанности лиц уполномоченных регулировать дорожное движение.</w:t>
      </w:r>
    </w:p>
    <w:p>
      <w:pPr>
        <w:pStyle w:val="Normal"/>
        <w:spacing w:lineRule="auto" w:line="240" w:before="0" w:after="0"/>
        <w:ind w:right="-568" w:firstLine="709"/>
        <w:jc w:val="both"/>
        <w:rPr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color w:val="auto"/>
          <w:sz w:val="28"/>
          <w:szCs w:val="28"/>
        </w:rPr>
        <w:t xml:space="preserve">3. 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color w:val="auto"/>
          <w:sz w:val="28"/>
          <w:szCs w:val="28"/>
        </w:rPr>
        <w:t>Дорожные знаки. Значение дорожных знаков в общей системе организации дорожного движения. Предупреждающие знаки, их назначение, название и место установки. Знаки приоритета, их назначение, название и место установки. Запрещающие знаки, их назначение, название и место установки. Предписывающие знаки, их назначение, название и место установки. Информационно-указательные знаки, их назначение, название и установка. Знаки сервиса, название и их установка.</w:t>
      </w:r>
    </w:p>
    <w:p>
      <w:pPr>
        <w:pStyle w:val="Normal"/>
        <w:spacing w:lineRule="auto" w:line="240" w:before="0" w:after="0"/>
        <w:ind w:right="-568" w:firstLine="709"/>
        <w:jc w:val="both"/>
        <w:rPr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/>
          <w:color w:val="auto"/>
          <w:sz w:val="28"/>
          <w:szCs w:val="28"/>
          <w:lang w:val="ru-RU" w:eastAsia="ru-RU"/>
        </w:rPr>
        <w:t xml:space="preserve">4. </w:t>
      </w:r>
      <w:r>
        <w:rPr>
          <w:rFonts w:eastAsia="Calibri" w:cs="Times New Roman" w:ascii="Times New Roman" w:hAnsi="Times New Roman"/>
          <w:b w:val="false"/>
          <w:bCs w:val="false"/>
          <w:i w:val="false"/>
          <w:iCs/>
          <w:color w:val="auto"/>
          <w:kern w:val="0"/>
          <w:sz w:val="28"/>
          <w:szCs w:val="28"/>
          <w:lang w:val="ru-RU" w:eastAsia="ru-RU" w:bidi="ar-SA"/>
        </w:rPr>
        <w:t xml:space="preserve">Дорожная разметка и ее характеристика Горизонтальная разметка, назначение, цвет и условия применения каждого вида горизонтальной разметки. Название линий и надписей на проезжей части. Вертикальная разметка, назначение, цвет и условия применения каждого вида вертикальной разметки. </w:t>
      </w:r>
    </w:p>
    <w:p>
      <w:pPr>
        <w:pStyle w:val="Normal"/>
        <w:spacing w:lineRule="auto" w:line="240" w:before="0" w:after="0"/>
        <w:ind w:right="-568" w:firstLine="709"/>
        <w:jc w:val="both"/>
        <w:rPr/>
      </w:pPr>
      <w:r>
        <w:rPr>
          <w:rFonts w:eastAsia="Calibri" w:cs="Times New Roman" w:ascii="Times New Roman" w:hAnsi="Times New Roman"/>
          <w:b w:val="false"/>
          <w:bCs w:val="false"/>
          <w:i w:val="false"/>
          <w:iCs/>
          <w:color w:val="auto"/>
          <w:sz w:val="28"/>
          <w:szCs w:val="28"/>
          <w:lang w:val="ru-RU" w:eastAsia="ru-RU"/>
        </w:rPr>
        <w:t>5</w:t>
      </w:r>
      <w:r>
        <w:rPr>
          <w:rFonts w:eastAsia="Calibri" w:cs="Times New Roman" w:ascii="Times New Roman" w:hAnsi="Times New Roman"/>
          <w:b w:val="false"/>
          <w:bCs w:val="false"/>
          <w:i w:val="false"/>
          <w:iCs/>
          <w:color w:val="auto"/>
          <w:sz w:val="28"/>
          <w:szCs w:val="28"/>
          <w:lang w:val="ru-RU" w:eastAsia="ru-RU"/>
        </w:rPr>
        <w:t xml:space="preserve">. Типы светофоров и их назначение. Значение сигналов светофора и действия водителей в соответствии с этими сигналами. </w:t>
      </w:r>
      <w:r>
        <w:rPr>
          <w:rFonts w:eastAsia="Calibri" w:cs="Times New Roman" w:ascii="Times New Roman" w:hAnsi="Times New Roman"/>
          <w:b w:val="false"/>
          <w:bCs w:val="false"/>
          <w:i w:val="false"/>
          <w:iCs/>
          <w:color w:val="auto"/>
          <w:kern w:val="0"/>
          <w:sz w:val="28"/>
          <w:szCs w:val="28"/>
          <w:lang w:val="ru-RU" w:eastAsia="ru-RU" w:bidi="ar-SA"/>
        </w:rPr>
        <w:t xml:space="preserve">Сигналы регулировщика. Значение сигналов регулировщика для безрельсовых транспортных средств, трамваев и пешеходов. </w:t>
      </w:r>
    </w:p>
    <w:p>
      <w:pPr>
        <w:pStyle w:val="Normal"/>
        <w:spacing w:lineRule="auto" w:line="240" w:before="0" w:after="0"/>
        <w:ind w:right="-568" w:firstLine="709"/>
        <w:jc w:val="both"/>
        <w:rPr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/>
          <w:color w:val="auto"/>
          <w:sz w:val="28"/>
          <w:szCs w:val="28"/>
          <w:lang w:val="ru-RU" w:eastAsia="ru-RU"/>
        </w:rPr>
        <w:t xml:space="preserve">6.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sz w:val="28"/>
          <w:szCs w:val="28"/>
          <w:lang w:val="ru-RU" w:eastAsia="ru-RU"/>
        </w:rPr>
        <w:t xml:space="preserve"> </w:t>
      </w:r>
      <w:r>
        <w:rPr>
          <w:rFonts w:eastAsia="Calibri" w:cs="Times New Roman" w:ascii="Times New Roman" w:hAnsi="Times New Roman"/>
          <w:b w:val="false"/>
          <w:bCs w:val="false"/>
          <w:i w:val="false"/>
          <w:iCs w:val="false"/>
          <w:color w:val="auto"/>
          <w:sz w:val="28"/>
          <w:szCs w:val="28"/>
          <w:lang w:val="ru-RU" w:eastAsia="ru-RU"/>
        </w:rPr>
        <w:t xml:space="preserve">Обязанности водителей по обеспечению проезда транспортных средств с включенными проблесковыми маячками.  Начало движения и маневрирование. Выполнение поворотов, разворота. Места где развороты запрещены. Движение задним ходом. Места где запрещено движение задним ходом. </w:t>
      </w:r>
    </w:p>
    <w:p>
      <w:pPr>
        <w:pStyle w:val="Normal"/>
        <w:spacing w:lineRule="auto" w:line="240" w:before="0" w:after="0"/>
        <w:ind w:right="-568" w:firstLine="709"/>
        <w:jc w:val="both"/>
        <w:rPr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color w:val="auto"/>
          <w:sz w:val="28"/>
          <w:szCs w:val="28"/>
        </w:rPr>
        <w:t xml:space="preserve">7.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sz w:val="28"/>
          <w:szCs w:val="28"/>
          <w:lang w:val="ru-RU" w:eastAsia="ru-RU"/>
        </w:rPr>
        <w:t xml:space="preserve">Обгон, опережение и встречный разъезд. Обязанности водителей перед началом обгона. Завершение обгона. Запрещение на обгон. Правила встречного разъезда. </w:t>
      </w:r>
    </w:p>
    <w:p>
      <w:pPr>
        <w:pStyle w:val="Normal"/>
        <w:spacing w:lineRule="auto" w:line="240" w:before="0" w:after="0"/>
        <w:ind w:right="-568" w:firstLine="709"/>
        <w:jc w:val="both"/>
        <w:rPr>
          <w:b w:val="false"/>
          <w:bCs w:val="false"/>
        </w:rPr>
      </w:pPr>
      <w:r>
        <w:rPr>
          <w:rFonts w:cs="Times New Roman" w:ascii="Times New Roman" w:hAnsi="Times New Roman"/>
          <w:b w:val="false"/>
          <w:bCs w:val="false"/>
          <w:i w:val="false"/>
          <w:iCs w:val="false"/>
          <w:color w:val="auto"/>
          <w:sz w:val="28"/>
          <w:szCs w:val="28"/>
        </w:rPr>
        <w:t xml:space="preserve">8.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8"/>
          <w:szCs w:val="28"/>
          <w:lang w:val="ru-RU" w:eastAsia="ru-RU" w:bidi="ar-SA"/>
        </w:rPr>
        <w:t>Классификация пешеходных переходов, проезд пешеходных переходов. Действия водителя при заторе, образовавшемся за пешеходным переходом. Проезд остановок для маршрутных транспортных средств.</w:t>
      </w:r>
    </w:p>
    <w:p>
      <w:pPr>
        <w:pStyle w:val="Normal"/>
        <w:spacing w:lineRule="auto" w:line="240" w:before="0" w:after="0"/>
        <w:ind w:right="-568" w:firstLine="709"/>
        <w:jc w:val="both"/>
        <w:rPr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sz w:val="28"/>
          <w:szCs w:val="28"/>
          <w:lang w:val="ru-RU" w:eastAsia="ru-RU"/>
        </w:rPr>
        <w:t xml:space="preserve">9.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8"/>
          <w:szCs w:val="28"/>
          <w:lang w:val="ru-RU" w:eastAsia="ru-RU" w:bidi="ar-SA"/>
        </w:rPr>
        <w:t>Проезд железнодорожных переездов.  Типы пересечений железнодорожных путей с автомобильными дорогами. Оборудование переездов. Действие водителя при вынужденной остановке на железнодорожном переезде. Сигналы экстренной остановки и общей тревоги</w:t>
      </w:r>
    </w:p>
    <w:p>
      <w:pPr>
        <w:pStyle w:val="Normal"/>
        <w:spacing w:lineRule="auto" w:line="240" w:before="0" w:after="0"/>
        <w:ind w:right="-568" w:firstLine="709"/>
        <w:jc w:val="both"/>
        <w:rPr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sz w:val="28"/>
          <w:szCs w:val="28"/>
          <w:lang w:val="ru-RU" w:eastAsia="ru-RU"/>
        </w:rPr>
        <w:t xml:space="preserve">10. Дорожное движение. Понятие «дорожно-транспортное происшествие», дорожно-транспортное происшествие – социальная проблема. Классификация дорожно-транспортных происшествий. Дорожные условия и безопасность движения. Контроль за безопасностью дорожного движения – государственный, ведомственный, общественный. Опасная и аварийная дорожная обстановка. Механизм дорожно-транспортных происшествий.  Влияние свойств транспортного средства на эффективность и безопасность управления. Понятие о динамичном габарите транспортного средства. Прямолинейное движение транспортного средств и маневрирование в ограниченном пространстве. </w:t>
      </w:r>
    </w:p>
    <w:p>
      <w:pPr>
        <w:pStyle w:val="Normal"/>
        <w:spacing w:lineRule="auto" w:line="240" w:before="0" w:after="0"/>
        <w:ind w:right="-568" w:firstLine="709"/>
        <w:jc w:val="both"/>
        <w:rPr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sz w:val="28"/>
          <w:szCs w:val="28"/>
          <w:lang w:val="ru-RU" w:eastAsia="ru-RU"/>
        </w:rPr>
        <w:t>11. Обеспечение безопасности наиболее уязвимых участников дорожного движения. Управление транспортным средством в местах скопления пешеходов, оценка их поведения и меры предотвращения наезда. Управление транспортным средством в местах возможного появления детей и подростков (школы, детские площадки).</w:t>
      </w:r>
    </w:p>
    <w:p>
      <w:pPr>
        <w:pStyle w:val="Normal"/>
        <w:spacing w:lineRule="auto" w:line="240" w:before="0" w:after="0"/>
        <w:ind w:right="-568" w:firstLine="709"/>
        <w:jc w:val="both"/>
        <w:rPr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sz w:val="28"/>
          <w:szCs w:val="28"/>
          <w:lang w:val="ru-RU" w:eastAsia="ru-RU"/>
        </w:rPr>
        <w:t xml:space="preserve">12.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8"/>
          <w:szCs w:val="28"/>
          <w:lang w:val="ru-RU" w:eastAsia="ru-RU" w:bidi="ar-SA"/>
        </w:rPr>
        <w:t>Управление транспортным средством при движении по городским и загородным дорогам в темное время суток и в условиях недостаточной видимости. Пользование световыми приборами и сигналами в темное время суток, во время дождя, при тумане и снегопаде, при преднамеренной и вынужденной остановках. Меры предотвращения ослепления водителем встречного транспортного средства.  Правила и приемы вождения по бездорожью, управление транспортным средством на полевых, лесных, колейных, щитовых дорогах, «зимниках». Правила и приемы преодоления канав, порогов, песчаных барханов. Управление транспортным средством на железнодорожных переездах. Особенности проезда регулируемых и нерегулируемых переездов, мостов, путепроводов, транспортных развязок, тоннелей.</w:t>
      </w:r>
    </w:p>
    <w:p>
      <w:pPr>
        <w:pStyle w:val="Normal"/>
        <w:spacing w:lineRule="auto" w:line="240" w:before="0" w:after="0"/>
        <w:ind w:right="-568" w:firstLine="709"/>
        <w:jc w:val="both"/>
        <w:rPr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8"/>
          <w:szCs w:val="28"/>
          <w:lang w:val="ru-RU" w:eastAsia="ru-RU" w:bidi="ar-SA"/>
        </w:rPr>
        <w:t xml:space="preserve">13. </w:t>
      </w: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8"/>
          <w:szCs w:val="28"/>
          <w:lang w:val="ru-RU" w:eastAsia="ru-RU" w:bidi="ar-SA"/>
        </w:rPr>
        <w:t>Режим экономичного управления транспортным средством в различных дорожных и метеоусловиях. Приборы для контроля расхода топлива при движении транспортного средства. Влияние режима работы двигателя на загрязнение окружающей среды. Принципы безопасного управления транспортным средством.</w:t>
      </w:r>
    </w:p>
    <w:p>
      <w:pPr>
        <w:pStyle w:val="Normal"/>
        <w:spacing w:lineRule="auto" w:line="240" w:before="0" w:after="0"/>
        <w:ind w:right="-568" w:firstLine="709"/>
        <w:jc w:val="both"/>
        <w:rPr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8"/>
          <w:szCs w:val="28"/>
          <w:lang w:val="ru-RU" w:eastAsia="ru-RU" w:bidi="ar-SA"/>
        </w:rPr>
        <w:t>14. Познавательные функции, системы восприятия и психомоторные навыки. Этические основы деятельности водителя. Основы эффективного общения. Эмоциональные состояния и профилактика конфликтов.</w:t>
      </w:r>
    </w:p>
    <w:p>
      <w:pPr>
        <w:pStyle w:val="Normal"/>
        <w:spacing w:lineRule="auto" w:line="240" w:before="0" w:after="0"/>
        <w:ind w:right="-568" w:firstLine="709"/>
        <w:jc w:val="both"/>
        <w:rPr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8"/>
          <w:szCs w:val="28"/>
          <w:lang w:val="ru-RU" w:eastAsia="ru-RU" w:bidi="ar-SA"/>
        </w:rPr>
        <w:t>15. Определение надёжности водителя: пригодность, подготовленность, работоспособность. Влияние квалификации, образование, стажа работы и возраста на надёжность водителя. Правовое воспитание водителя.</w:t>
      </w:r>
    </w:p>
    <w:p>
      <w:pPr>
        <w:pStyle w:val="Normal"/>
        <w:spacing w:lineRule="auto" w:line="240" w:before="0" w:after="0"/>
        <w:ind w:right="-568" w:firstLine="709"/>
        <w:jc w:val="both"/>
        <w:rPr>
          <w:b w:val="false"/>
          <w:bCs w:val="false"/>
        </w:rPr>
      </w:pPr>
      <w:r>
        <w:rPr>
          <w:rFonts w:eastAsia="Times New Roman" w:cs="Times New Roman" w:ascii="Times New Roman" w:hAnsi="Times New Roman"/>
          <w:b w:val="false"/>
          <w:bCs w:val="false"/>
          <w:i w:val="false"/>
          <w:iCs w:val="false"/>
          <w:color w:val="auto"/>
          <w:kern w:val="0"/>
          <w:sz w:val="28"/>
          <w:szCs w:val="28"/>
          <w:lang w:val="ru-RU" w:eastAsia="ru-RU" w:bidi="ar-SA"/>
        </w:rPr>
        <w:t xml:space="preserve">16. Организационно-правовые аспекты и правила оказания первой помощи Оказание первой помощи при отсутствии сознания, остановке дыхания и кровообращения. Оказание первой помощи при наружных кровотечениях и травмах. Оказание первой помощи при прочих состояниях, транспортировка пострадавших в ДТП. </w:t>
      </w:r>
    </w:p>
    <w:p>
      <w:pPr>
        <w:pStyle w:val="Normal"/>
        <w:spacing w:lineRule="auto" w:line="240" w:before="0" w:after="0"/>
        <w:ind w:right="-568" w:firstLine="709"/>
        <w:jc w:val="both"/>
        <w:rPr>
          <w:rFonts w:ascii="Times New Roman" w:hAnsi="Times New Roman" w:eastAsia="Times New Roman" w:cs="Times New Roman"/>
          <w:bCs/>
          <w:i w:val="false"/>
          <w:i w:val="false"/>
          <w:iCs w:val="false"/>
          <w:color w:val="auto"/>
          <w:sz w:val="28"/>
          <w:szCs w:val="28"/>
          <w:lang w:val="ru-RU" w:eastAsia="ru-RU"/>
        </w:rPr>
      </w:pPr>
      <w:r>
        <w:rPr>
          <w:b w:val="false"/>
          <w:bCs w:val="false"/>
        </w:rPr>
      </w:r>
    </w:p>
    <w:p>
      <w:pPr>
        <w:pStyle w:val="Normal"/>
        <w:spacing w:lineRule="auto" w:line="240"/>
        <w:jc w:val="both"/>
        <w:rPr>
          <w:rFonts w:ascii="Times New Roman" w:hAnsi="Times New Roman" w:eastAsia="Times New Roman" w:cs="Times New Roman"/>
          <w:i w:val="false"/>
          <w:i w:val="false"/>
          <w:iCs w:val="false"/>
          <w:color w:val="auto"/>
          <w:sz w:val="28"/>
          <w:szCs w:val="28"/>
          <w:lang w:val="ru-RU" w:eastAsia="ru-RU"/>
        </w:rPr>
      </w:pPr>
      <w:r>
        <w:rPr>
          <w:b w:val="false"/>
          <w:bCs w:val="false"/>
        </w:rPr>
      </w:r>
    </w:p>
    <w:p>
      <w:pPr>
        <w:pStyle w:val="Normal"/>
        <w:spacing w:lineRule="auto" w:line="240" w:before="0" w:after="0"/>
        <w:ind w:right="-568"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spacing w:lineRule="auto" w:line="240" w:before="0" w:after="0"/>
        <w:ind w:right="-568" w:firstLine="709"/>
        <w:jc w:val="both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Normal"/>
        <w:tabs>
          <w:tab w:val="clear" w:pos="708"/>
          <w:tab w:val="left" w:pos="10076" w:leader="none"/>
        </w:tabs>
        <w:spacing w:lineRule="auto" w:line="240" w:before="0" w:after="0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КРИТЕРИИ ОЦЕНКИ</w:t>
      </w:r>
    </w:p>
    <w:p>
      <w:pPr>
        <w:pStyle w:val="Normal"/>
        <w:tabs>
          <w:tab w:val="clear" w:pos="708"/>
          <w:tab w:val="left" w:pos="10076" w:leader="none"/>
        </w:tabs>
        <w:spacing w:lineRule="auto" w:line="240" w:before="0" w:after="0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5 (отл.):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90 % и выше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4 (хор.):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75% - 89%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(уд.):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60 % - 74%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Оценка 3 (неуд):</w:t>
      </w:r>
    </w:p>
    <w:p>
      <w:pPr>
        <w:pStyle w:val="NormalWeb"/>
        <w:shd w:val="clear" w:color="auto" w:fill="FFFFFF"/>
        <w:spacing w:beforeAutospacing="0" w:before="0" w:afterAutospacing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процент выполнения задания ниже 60%</w:t>
      </w:r>
    </w:p>
    <w:p>
      <w:pPr>
        <w:pStyle w:val="Normal"/>
        <w:jc w:val="both"/>
        <w:rPr/>
      </w:pPr>
      <w:r>
        <w:rPr/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80"/>
  <w:defaultTabStop w:val="708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ascii="PT Astra Serif" w:hAnsi="PT Astra Serif" w:cs="Noto Sans Devanagari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paragraph" w:styleId="NormalWeb">
    <w:name w:val="Normal (Web)"/>
    <w:basedOn w:val="Normal"/>
    <w:uiPriority w:val="99"/>
    <w:unhideWhenUsed/>
    <w:qFormat/>
    <w:rsid w:val="009c5a16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ru-RU"/>
    </w:rPr>
  </w:style>
  <w:style w:type="paragraph" w:styleId="ListParagraph">
    <w:name w:val="List Paragraph"/>
    <w:basedOn w:val="Normal"/>
    <w:uiPriority w:val="34"/>
    <w:qFormat/>
    <w:rsid w:val="009c5a16"/>
    <w:pPr>
      <w:spacing w:before="0" w:after="20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562</TotalTime>
  <Application>LibreOffice/7.5.6.2$Linux_X86_64 LibreOffice_project/50$Build-2</Application>
  <AppVersion>15.0000</AppVersion>
  <Pages>3</Pages>
  <Words>715</Words>
  <Characters>5482</Characters>
  <CharactersWithSpaces>6177</CharactersWithSpaces>
  <Paragraphs>37</Paragraphs>
  <Company>KTK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2024-05-08T03:58:00Z</dcterms:created>
  <dc:creator>User</dc:creator>
  <dc:description/>
  <dc:language>ru-RU</dc:language>
  <cp:lastModifiedBy/>
  <dcterms:modified xsi:type="dcterms:W3CDTF">2024-05-22T13:51:04Z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